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D87E" w14:textId="77777777" w:rsidR="00FB54EB" w:rsidRDefault="00FB54EB">
      <w:pPr>
        <w:pBdr>
          <w:top w:val="nil"/>
          <w:left w:val="nil"/>
          <w:bottom w:val="nil"/>
          <w:right w:val="nil"/>
          <w:between w:val="nil"/>
        </w:pBdr>
        <w:rPr>
          <w:rFonts w:ascii="Lato" w:eastAsia="Lato" w:hAnsi="Lato" w:cs="Lato"/>
          <w:b/>
        </w:rPr>
      </w:pPr>
    </w:p>
    <w:p w14:paraId="33EF2ED1" w14:textId="77777777" w:rsidR="00FB54EB" w:rsidRDefault="00FB54EB">
      <w:pPr>
        <w:pBdr>
          <w:top w:val="nil"/>
          <w:left w:val="nil"/>
          <w:bottom w:val="nil"/>
          <w:right w:val="nil"/>
          <w:between w:val="nil"/>
        </w:pBdr>
        <w:rPr>
          <w:rFonts w:ascii="Lato" w:eastAsia="Lato" w:hAnsi="Lato" w:cs="Lato"/>
          <w:b/>
          <w:sz w:val="28"/>
          <w:szCs w:val="28"/>
        </w:rPr>
      </w:pPr>
    </w:p>
    <w:p w14:paraId="79E3E7FB" w14:textId="77777777" w:rsidR="00FB54EB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proofErr w:type="spellStart"/>
      <w:r>
        <w:rPr>
          <w:b/>
          <w:sz w:val="28"/>
          <w:szCs w:val="28"/>
        </w:rPr>
        <w:t>Cirql</w:t>
      </w:r>
      <w:proofErr w:type="spellEnd"/>
      <w:r>
        <w:rPr>
          <w:b/>
          <w:sz w:val="28"/>
          <w:szCs w:val="28"/>
        </w:rPr>
        <w:t xml:space="preserve">® Expands Family of Recyclable Midsole Innovations with </w:t>
      </w:r>
      <w:r>
        <w:rPr>
          <w:b/>
          <w:sz w:val="28"/>
          <w:szCs w:val="28"/>
        </w:rPr>
        <w:br/>
      </w:r>
      <w:proofErr w:type="spellStart"/>
      <w:r>
        <w:rPr>
          <w:b/>
          <w:sz w:val="28"/>
          <w:szCs w:val="28"/>
        </w:rPr>
        <w:t>Cirql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rTPU50</w:t>
      </w:r>
      <w:proofErr w:type="gramEnd"/>
    </w:p>
    <w:p w14:paraId="37478324" w14:textId="77777777" w:rsidR="00FB54EB" w:rsidRDefault="00FB54E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4D7ED8C4" w14:textId="77777777" w:rsidR="00FB54EB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HO CHI MINH CITY, Vietnam (Sept. 22, 2025)</w:t>
      </w:r>
      <w:r>
        <w:t xml:space="preserve"> – </w:t>
      </w:r>
      <w:hyperlink r:id="rId7">
        <w:proofErr w:type="spellStart"/>
        <w:r>
          <w:rPr>
            <w:color w:val="1155CC"/>
            <w:u w:val="single"/>
          </w:rPr>
          <w:t>Cirql</w:t>
        </w:r>
        <w:proofErr w:type="spellEnd"/>
        <w:r>
          <w:rPr>
            <w:color w:val="1155CC"/>
            <w:u w:val="single"/>
          </w:rPr>
          <w:t>®</w:t>
        </w:r>
      </w:hyperlink>
      <w:r>
        <w:t xml:space="preserve">, a leader in sustainable materials for the global footwear industry, introduces </w:t>
      </w:r>
      <w:proofErr w:type="spellStart"/>
      <w:r>
        <w:t>Cirql</w:t>
      </w:r>
      <w:proofErr w:type="spellEnd"/>
      <w:r>
        <w:t xml:space="preserve"> rTPU50—the newest addition to its fully recyclable midsole collection. This patented material is made with 50% GRS-certified post-industrial recycled TPU and produced using a chemical-free, supercritical foaming process. With 25 granted patents and dozens more pending worldwide, </w:t>
      </w:r>
      <w:proofErr w:type="spellStart"/>
      <w:r>
        <w:t>Cirql</w:t>
      </w:r>
      <w:proofErr w:type="spellEnd"/>
      <w:r>
        <w:t xml:space="preserve"> rTPU50 offers a scalable, fully recyclable midsole solution that empowers footwear brands to meet their climate and sustainability goals.</w:t>
      </w:r>
    </w:p>
    <w:p w14:paraId="164EA522" w14:textId="77777777" w:rsidR="00FB54E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164DC93D" wp14:editId="412DED58">
            <wp:simplePos x="0" y="0"/>
            <wp:positionH relativeFrom="column">
              <wp:posOffset>1</wp:posOffset>
            </wp:positionH>
            <wp:positionV relativeFrom="paragraph">
              <wp:posOffset>154637</wp:posOffset>
            </wp:positionV>
            <wp:extent cx="5943600" cy="3340100"/>
            <wp:effectExtent l="0" t="0" r="0" b="0"/>
            <wp:wrapTopAndBottom distT="114300" distB="114300"/>
            <wp:docPr id="1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221B93B" w14:textId="77777777" w:rsidR="00FB54EB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 xml:space="preserve">The global footwear industry is navigating an unprecedented regulatory environment, marked by stringent compliance demands and new legislation defining sustainability standards for product and messaging. </w:t>
      </w:r>
    </w:p>
    <w:p w14:paraId="42CBE8E5" w14:textId="77777777" w:rsidR="00FB54EB" w:rsidRDefault="00FB54EB">
      <w:pPr>
        <w:pBdr>
          <w:top w:val="nil"/>
          <w:left w:val="nil"/>
          <w:bottom w:val="nil"/>
          <w:right w:val="nil"/>
          <w:between w:val="nil"/>
        </w:pBdr>
      </w:pPr>
    </w:p>
    <w:p w14:paraId="23B27894" w14:textId="77777777" w:rsidR="00FB54EB" w:rsidRDefault="00000000">
      <w:proofErr w:type="spellStart"/>
      <w:r>
        <w:t>Cirql</w:t>
      </w:r>
      <w:proofErr w:type="spellEnd"/>
      <w:r>
        <w:t xml:space="preserve"> expands material optionality for footwear brands committed to building footwear with </w:t>
      </w:r>
      <w:proofErr w:type="gramStart"/>
      <w:r>
        <w:t>fully-recycled</w:t>
      </w:r>
      <w:proofErr w:type="gramEnd"/>
      <w:r>
        <w:t xml:space="preserve"> circularity. rTPU50 exceeds 2025 compliance standards by incorporating 50% GRS-certified, post-industrial recycled TPU materials directly into the foam using a patented supercritical manufacturing process.</w:t>
      </w:r>
    </w:p>
    <w:p w14:paraId="10C88203" w14:textId="77777777" w:rsidR="00FB54EB" w:rsidRDefault="00FB54EB"/>
    <w:p w14:paraId="77306210" w14:textId="77777777" w:rsidR="00FB54EB" w:rsidRDefault="00000000">
      <w:r>
        <w:t xml:space="preserve">“Our mission is to keep shoes out of landfills, first and foremost, and with </w:t>
      </w:r>
      <w:proofErr w:type="spellStart"/>
      <w:r>
        <w:t>Cirql’s</w:t>
      </w:r>
      <w:proofErr w:type="spellEnd"/>
      <w:r>
        <w:t xml:space="preserve"> rTPU50 we add another solution for footwear designers, brands and product creators committed to building circular footwear,” said Matt Thwaites, Vice </w:t>
      </w:r>
      <w:proofErr w:type="gramStart"/>
      <w:r>
        <w:t>President</w:t>
      </w:r>
      <w:proofErr w:type="gramEnd"/>
      <w:r>
        <w:t xml:space="preserve"> and General Manager of </w:t>
      </w:r>
      <w:proofErr w:type="spellStart"/>
      <w:r>
        <w:t>Cirql</w:t>
      </w:r>
      <w:proofErr w:type="spellEnd"/>
      <w:r>
        <w:t xml:space="preserve">. “We are proud to offer footwear brands yet another trusted midsole material that will empower developers to build products that are aligned with climate goals.” </w:t>
      </w:r>
    </w:p>
    <w:p w14:paraId="162EE9C4" w14:textId="77777777" w:rsidR="00FB54EB" w:rsidRDefault="00FB54EB"/>
    <w:p w14:paraId="20CAB1B0" w14:textId="77777777" w:rsidR="00FB54EB" w:rsidRDefault="00000000">
      <w:proofErr w:type="spellStart"/>
      <w:r>
        <w:t>Cirql</w:t>
      </w:r>
      <w:proofErr w:type="spellEnd"/>
      <w:r>
        <w:t xml:space="preserve"> is committed to transparent, verifiable claims on its materials and processes. In November 2024, </w:t>
      </w:r>
      <w:proofErr w:type="spellStart"/>
      <w:r>
        <w:t>Cirql’s</w:t>
      </w:r>
      <w:proofErr w:type="spellEnd"/>
      <w:r>
        <w:t xml:space="preserve"> Vietnam factory obtained GRS certification.</w:t>
      </w:r>
    </w:p>
    <w:p w14:paraId="1B0F6A3B" w14:textId="77777777" w:rsidR="00FB54EB" w:rsidRDefault="00FB54EB"/>
    <w:p w14:paraId="396B233D" w14:textId="77777777" w:rsidR="00FB54EB" w:rsidRDefault="00000000">
      <w:proofErr w:type="spellStart"/>
      <w:r>
        <w:t>Cirql</w:t>
      </w:r>
      <w:proofErr w:type="spellEnd"/>
      <w:r>
        <w:t xml:space="preserve"> rTPU50 is third-party tested and is available as a finished component or as polymer. Additionally, </w:t>
      </w:r>
      <w:proofErr w:type="spellStart"/>
      <w:r>
        <w:t>Cirql</w:t>
      </w:r>
      <w:proofErr w:type="spellEnd"/>
      <w:r>
        <w:t xml:space="preserve"> adds the option of a co-molded TPU outsole which removes the current bonding process, delivering a </w:t>
      </w:r>
      <w:proofErr w:type="spellStart"/>
      <w:r>
        <w:t>glueless</w:t>
      </w:r>
      <w:proofErr w:type="spellEnd"/>
      <w:r>
        <w:t xml:space="preserve">, single material bottom unit. </w:t>
      </w:r>
      <w:proofErr w:type="spellStart"/>
      <w:r>
        <w:t>Cirql’s</w:t>
      </w:r>
      <w:proofErr w:type="spellEnd"/>
      <w:r>
        <w:t xml:space="preserve"> midsole foams can also be conventionally bonded to all outsoles on the market today. </w:t>
      </w:r>
    </w:p>
    <w:p w14:paraId="5E33B1C7" w14:textId="77777777" w:rsidR="00FB54EB" w:rsidRDefault="00FB54EB"/>
    <w:p w14:paraId="0037F83D" w14:textId="342787A8" w:rsidR="00FB54EB" w:rsidRDefault="00000000">
      <w:proofErr w:type="spellStart"/>
      <w:r>
        <w:t>Cirql's</w:t>
      </w:r>
      <w:proofErr w:type="spellEnd"/>
      <w:r>
        <w:t xml:space="preserve"> sustainable solutions for supercritical foams </w:t>
      </w:r>
      <w:proofErr w:type="gramStart"/>
      <w:r>
        <w:t>have currently</w:t>
      </w:r>
      <w:proofErr w:type="gramEnd"/>
      <w:r>
        <w:t xml:space="preserve"> dozens of patents filed worldwide.</w:t>
      </w:r>
      <w:r w:rsidR="00D2166F">
        <w:t xml:space="preserve"> </w:t>
      </w:r>
      <w:proofErr w:type="gramStart"/>
      <w:r>
        <w:t>Of</w:t>
      </w:r>
      <w:proofErr w:type="gramEnd"/>
      <w:r>
        <w:t xml:space="preserve"> those patents, 25 are granted and in effect, with more on the way.</w:t>
      </w:r>
    </w:p>
    <w:p w14:paraId="7E3AE092" w14:textId="77777777" w:rsidR="00FB54EB" w:rsidRDefault="00FB54EB"/>
    <w:p w14:paraId="33C64BE2" w14:textId="77777777" w:rsidR="00FB54EB" w:rsidRDefault="00000000">
      <w:r>
        <w:t xml:space="preserve">“We’re committed to authentic circularity by shrinking carbon emissions, offering next-generation sustainable material solutions, and eliminating hazardous substances from manufacturing, with traceability and trust,” said Thwaites. “We’re energized by the possibilities ahead and look forward to sharing more exciting </w:t>
      </w:r>
      <w:proofErr w:type="spellStart"/>
      <w:r>
        <w:t>Cirql</w:t>
      </w:r>
      <w:proofErr w:type="spellEnd"/>
      <w:r>
        <w:t xml:space="preserve"> developments this year.”</w:t>
      </w:r>
    </w:p>
    <w:p w14:paraId="5959F54A" w14:textId="77777777" w:rsidR="00FB54EB" w:rsidRDefault="00FB54EB"/>
    <w:p w14:paraId="6B241011" w14:textId="77777777" w:rsidR="00FB54EB" w:rsidRDefault="00000000">
      <w:pPr>
        <w:rPr>
          <w:b/>
          <w:color w:val="000A12"/>
          <w:highlight w:val="white"/>
        </w:rPr>
      </w:pPr>
      <w:r>
        <w:t xml:space="preserve">Best suited for lifestyle, casual, recovery, </w:t>
      </w:r>
      <w:proofErr w:type="gramStart"/>
      <w:r>
        <w:t>safety</w:t>
      </w:r>
      <w:proofErr w:type="gramEnd"/>
      <w:r>
        <w:t xml:space="preserve"> and golf footwear, </w:t>
      </w:r>
      <w:proofErr w:type="spellStart"/>
      <w:r>
        <w:t>Cirql</w:t>
      </w:r>
      <w:proofErr w:type="spellEnd"/>
      <w:r>
        <w:t xml:space="preserve"> rTPU50 will be available to footwear brands in Q3 2025. </w:t>
      </w:r>
      <w:r>
        <w:rPr>
          <w:highlight w:val="white"/>
        </w:rPr>
        <w:t xml:space="preserve">For additional information on </w:t>
      </w:r>
      <w:proofErr w:type="spellStart"/>
      <w:r>
        <w:rPr>
          <w:highlight w:val="white"/>
        </w:rPr>
        <w:t>Cirql</w:t>
      </w:r>
      <w:proofErr w:type="spellEnd"/>
      <w:r>
        <w:rPr>
          <w:highlight w:val="white"/>
        </w:rPr>
        <w:t xml:space="preserve">, please visit https://cirqlinnovations.com/. </w:t>
      </w:r>
    </w:p>
    <w:p w14:paraId="61894380" w14:textId="77777777" w:rsidR="00FB54EB" w:rsidRDefault="00FB54EB">
      <w:pPr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rPr>
          <w:rFonts w:ascii="Lato" w:eastAsia="Lato" w:hAnsi="Lato" w:cs="Lato"/>
        </w:rPr>
      </w:pPr>
    </w:p>
    <w:p w14:paraId="69EF71EB" w14:textId="77777777" w:rsidR="00FB54EB" w:rsidRDefault="00000000">
      <w:pPr>
        <w:shd w:val="clear" w:color="auto" w:fill="FEFEFE"/>
        <w:rPr>
          <w:b/>
          <w:highlight w:val="white"/>
        </w:rPr>
      </w:pPr>
      <w:r>
        <w:rPr>
          <w:b/>
          <w:highlight w:val="white"/>
        </w:rPr>
        <w:t xml:space="preserve">About </w:t>
      </w:r>
      <w:proofErr w:type="spellStart"/>
      <w:r>
        <w:rPr>
          <w:b/>
          <w:highlight w:val="white"/>
        </w:rPr>
        <w:t>Cirql</w:t>
      </w:r>
      <w:proofErr w:type="spellEnd"/>
      <w:r>
        <w:rPr>
          <w:b/>
          <w:highlight w:val="white"/>
        </w:rPr>
        <w:t>®</w:t>
      </w:r>
    </w:p>
    <w:p w14:paraId="21F23E35" w14:textId="77777777" w:rsidR="00FB54EB" w:rsidRDefault="00000000">
      <w:pPr>
        <w:rPr>
          <w:b/>
          <w:highlight w:val="white"/>
        </w:rPr>
      </w:pPr>
      <w:hyperlink r:id="rId9">
        <w:proofErr w:type="spellStart"/>
        <w:r>
          <w:rPr>
            <w:color w:val="1155CC"/>
            <w:u w:val="single"/>
          </w:rPr>
          <w:t>Cirql</w:t>
        </w:r>
        <w:proofErr w:type="spellEnd"/>
        <w:r>
          <w:rPr>
            <w:color w:val="1155CC"/>
            <w:u w:val="single"/>
          </w:rPr>
          <w:t>®</w:t>
        </w:r>
      </w:hyperlink>
      <w:r>
        <w:t xml:space="preserve">, a subsidiary of </w:t>
      </w:r>
      <w:hyperlink r:id="rId10">
        <w:r>
          <w:rPr>
            <w:u w:val="single"/>
          </w:rPr>
          <w:t>OrthoLite®</w:t>
        </w:r>
      </w:hyperlink>
      <w:r>
        <w:t xml:space="preserve">, is focused entirely on developing scalable and less impactful finished component and material solutions for footwear. </w:t>
      </w:r>
      <w:proofErr w:type="spellStart"/>
      <w:r>
        <w:t>Cirql</w:t>
      </w:r>
      <w:proofErr w:type="spellEnd"/>
      <w:r>
        <w:t xml:space="preserve"> offers finished components and premium materials that are either industrially compostable/biodegradable or fully recyclable made in the </w:t>
      </w:r>
      <w:proofErr w:type="spellStart"/>
      <w:r>
        <w:t>Cirql</w:t>
      </w:r>
      <w:proofErr w:type="spellEnd"/>
      <w:r>
        <w:t xml:space="preserve"> factory, which is GRS-certified. </w:t>
      </w:r>
      <w:proofErr w:type="spellStart"/>
      <w:r>
        <w:rPr>
          <w:highlight w:val="white"/>
        </w:rPr>
        <w:t>Cirql’s</w:t>
      </w:r>
      <w:proofErr w:type="spellEnd"/>
      <w:r>
        <w:rPr>
          <w:highlight w:val="white"/>
        </w:rPr>
        <w:t xml:space="preserve"> mission is to keep shoes out of landfills and with </w:t>
      </w:r>
      <w:proofErr w:type="spellStart"/>
      <w:r>
        <w:rPr>
          <w:highlight w:val="white"/>
        </w:rPr>
        <w:t>Cirql</w:t>
      </w:r>
      <w:proofErr w:type="spellEnd"/>
      <w:r>
        <w:rPr>
          <w:highlight w:val="white"/>
        </w:rPr>
        <w:t xml:space="preserve"> rTPU</w:t>
      </w:r>
      <w:proofErr w:type="gramStart"/>
      <w:r>
        <w:rPr>
          <w:highlight w:val="white"/>
        </w:rPr>
        <w:t>30 ,</w:t>
      </w:r>
      <w:proofErr w:type="gramEnd"/>
      <w:r>
        <w:rPr>
          <w:highlight w:val="white"/>
        </w:rPr>
        <w:t xml:space="preserve"> rTPU50 and </w:t>
      </w:r>
      <w:proofErr w:type="spellStart"/>
      <w:r>
        <w:rPr>
          <w:highlight w:val="white"/>
        </w:rPr>
        <w:t>Cirql</w:t>
      </w:r>
      <w:proofErr w:type="spellEnd"/>
      <w:r>
        <w:rPr>
          <w:highlight w:val="white"/>
        </w:rPr>
        <w:t xml:space="preserve"> Zero, and future product introductions, footwear brands and their factory partners have more material optionality to reach their own climate goals. Stay up to date with company news by visiting </w:t>
      </w:r>
      <w:hyperlink r:id="rId11">
        <w:r>
          <w:rPr>
            <w:color w:val="1155CC"/>
            <w:highlight w:val="white"/>
            <w:u w:val="single"/>
          </w:rPr>
          <w:t>CirqlInnovations.com</w:t>
        </w:r>
      </w:hyperlink>
      <w:r>
        <w:rPr>
          <w:highlight w:val="white"/>
        </w:rPr>
        <w:t xml:space="preserve"> and</w:t>
      </w:r>
      <w:hyperlink r:id="rId12">
        <w:r>
          <w:rPr>
            <w:highlight w:val="white"/>
          </w:rPr>
          <w:t xml:space="preserve"> </w:t>
        </w:r>
      </w:hyperlink>
      <w:r>
        <w:rPr>
          <w:highlight w:val="white"/>
        </w:rPr>
        <w:t xml:space="preserve">following the brand on </w:t>
      </w:r>
      <w:hyperlink r:id="rId13">
        <w:r>
          <w:rPr>
            <w:color w:val="1155CC"/>
            <w:highlight w:val="white"/>
            <w:u w:val="single"/>
          </w:rPr>
          <w:t>Facebook</w:t>
        </w:r>
      </w:hyperlink>
      <w:r>
        <w:rPr>
          <w:highlight w:val="white"/>
        </w:rPr>
        <w:t xml:space="preserve">, </w:t>
      </w:r>
      <w:hyperlink r:id="rId14">
        <w:r>
          <w:rPr>
            <w:color w:val="1155CC"/>
            <w:highlight w:val="white"/>
            <w:u w:val="single"/>
          </w:rPr>
          <w:t>Instagram</w:t>
        </w:r>
      </w:hyperlink>
      <w:r>
        <w:rPr>
          <w:highlight w:val="white"/>
        </w:rPr>
        <w:t>,</w:t>
      </w:r>
      <w:hyperlink r:id="rId15">
        <w:r>
          <w:rPr>
            <w:highlight w:val="white"/>
          </w:rPr>
          <w:t xml:space="preserve"> </w:t>
        </w:r>
      </w:hyperlink>
      <w:r>
        <w:rPr>
          <w:highlight w:val="white"/>
        </w:rPr>
        <w:t xml:space="preserve">and </w:t>
      </w:r>
      <w:hyperlink r:id="rId16">
        <w:r>
          <w:rPr>
            <w:color w:val="1155CC"/>
            <w:highlight w:val="white"/>
            <w:u w:val="single"/>
          </w:rPr>
          <w:t>LinkedIn</w:t>
        </w:r>
      </w:hyperlink>
      <w:r>
        <w:rPr>
          <w:highlight w:val="white"/>
        </w:rPr>
        <w:t>.</w:t>
      </w:r>
    </w:p>
    <w:p w14:paraId="65493811" w14:textId="77777777" w:rsidR="00FB54EB" w:rsidRDefault="00000000">
      <w:pPr>
        <w:shd w:val="clear" w:color="auto" w:fill="FEFEFE"/>
        <w:spacing w:after="320"/>
        <w:jc w:val="center"/>
        <w:rPr>
          <w:rFonts w:ascii="Helvetica Neue" w:eastAsia="Helvetica Neue" w:hAnsi="Helvetica Neue" w:cs="Helvetica Neue"/>
          <w:sz w:val="20"/>
          <w:szCs w:val="20"/>
          <w:highlight w:val="white"/>
        </w:rPr>
      </w:pPr>
      <w:r>
        <w:rPr>
          <w:rFonts w:ascii="Helvetica Neue" w:eastAsia="Helvetica Neue" w:hAnsi="Helvetica Neue" w:cs="Helvetica Neue"/>
          <w:sz w:val="20"/>
          <w:szCs w:val="20"/>
          <w:highlight w:val="white"/>
        </w:rPr>
        <w:t>###</w:t>
      </w:r>
    </w:p>
    <w:p w14:paraId="44F8C296" w14:textId="77777777" w:rsidR="00FB54EB" w:rsidRDefault="00FB54EB">
      <w:pPr>
        <w:rPr>
          <w:rFonts w:ascii="Lato" w:eastAsia="Lato" w:hAnsi="Lato" w:cs="Lato"/>
          <w:color w:val="000A12"/>
          <w:highlight w:val="white"/>
        </w:rPr>
      </w:pPr>
    </w:p>
    <w:sectPr w:rsidR="00FB54EB">
      <w:head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FC3A0" w14:textId="77777777" w:rsidR="00AC6B4B" w:rsidRDefault="00AC6B4B">
      <w:pPr>
        <w:spacing w:line="240" w:lineRule="auto"/>
      </w:pPr>
      <w:r>
        <w:separator/>
      </w:r>
    </w:p>
  </w:endnote>
  <w:endnote w:type="continuationSeparator" w:id="0">
    <w:p w14:paraId="35A55B48" w14:textId="77777777" w:rsidR="00AC6B4B" w:rsidRDefault="00AC6B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ato">
    <w:panose1 w:val="020F0502020204030203"/>
    <w:charset w:val="4D"/>
    <w:family w:val="swiss"/>
    <w:pitch w:val="variable"/>
    <w:sig w:usb0="800000AF" w:usb1="4000604A" w:usb2="00000000" w:usb3="00000000" w:csb0="00000093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5DF71" w14:textId="77777777" w:rsidR="00AC6B4B" w:rsidRDefault="00AC6B4B">
      <w:pPr>
        <w:spacing w:line="240" w:lineRule="auto"/>
      </w:pPr>
      <w:r>
        <w:separator/>
      </w:r>
    </w:p>
  </w:footnote>
  <w:footnote w:type="continuationSeparator" w:id="0">
    <w:p w14:paraId="2351F37C" w14:textId="77777777" w:rsidR="00AC6B4B" w:rsidRDefault="00AC6B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F648" w14:textId="77777777" w:rsidR="00FB54EB" w:rsidRDefault="00000000">
    <w:pPr>
      <w:jc w:val="right"/>
    </w:pPr>
    <w:r>
      <w:rPr>
        <w:b/>
      </w:rPr>
      <w:t>Media Contact:</w:t>
    </w:r>
    <w:r>
      <w:rPr>
        <w:b/>
      </w:rPr>
      <w:br/>
    </w:r>
    <w:r>
      <w:t>Verde Brand Communications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A10B1C2" wp14:editId="4D803CD6">
          <wp:simplePos x="0" y="0"/>
          <wp:positionH relativeFrom="column">
            <wp:posOffset>19051</wp:posOffset>
          </wp:positionH>
          <wp:positionV relativeFrom="paragraph">
            <wp:posOffset>19051</wp:posOffset>
          </wp:positionV>
          <wp:extent cx="1874520" cy="585788"/>
          <wp:effectExtent l="0" t="0" r="0" b="0"/>
          <wp:wrapSquare wrapText="bothSides" distT="114300" distB="114300" distL="114300" distR="114300"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74520" cy="585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C640B10" w14:textId="77777777" w:rsidR="00FB54EB" w:rsidRDefault="00000000">
    <w:pPr>
      <w:jc w:val="right"/>
    </w:pPr>
    <w:r>
      <w:t>Lauren Haber</w:t>
    </w:r>
  </w:p>
  <w:p w14:paraId="350935A9" w14:textId="77777777" w:rsidR="00FB54EB" w:rsidRDefault="00000000">
    <w:pPr>
      <w:ind w:left="7200"/>
      <w:jc w:val="right"/>
      <w:rPr>
        <w:b/>
      </w:rPr>
    </w:pPr>
    <w:r>
      <w:t>lauren@verdepr.com</w:t>
    </w:r>
  </w:p>
  <w:p w14:paraId="3D5C6DDC" w14:textId="77777777" w:rsidR="00FB54EB" w:rsidRDefault="00FB54EB">
    <w:pPr>
      <w:pBdr>
        <w:top w:val="nil"/>
        <w:left w:val="nil"/>
        <w:bottom w:val="nil"/>
        <w:right w:val="nil"/>
        <w:between w:val="nil"/>
      </w:pBdr>
      <w:ind w:left="5760" w:firstLine="72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4EB"/>
    <w:rsid w:val="00AC6B4B"/>
    <w:rsid w:val="00D2166F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2ECB54"/>
  <w15:docId w15:val="{4C749751-0823-CF47-8DEA-3E631CFB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customStyle="1" w:styleId="Normal1">
    <w:name w:val="Normal1"/>
  </w:style>
  <w:style w:type="paragraph" w:styleId="Header">
    <w:name w:val="header"/>
    <w:basedOn w:val="Normal"/>
    <w:link w:val="HeaderChar"/>
    <w:uiPriority w:val="99"/>
    <w:unhideWhenUsed/>
    <w:rsid w:val="009A1AA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AAA"/>
  </w:style>
  <w:style w:type="paragraph" w:styleId="Footer">
    <w:name w:val="footer"/>
    <w:basedOn w:val="Normal"/>
    <w:link w:val="FooterChar"/>
    <w:uiPriority w:val="99"/>
    <w:unhideWhenUsed/>
    <w:rsid w:val="009A1AA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AAA"/>
  </w:style>
  <w:style w:type="paragraph" w:customStyle="1" w:styleId="Normal10">
    <w:name w:val="Normal1"/>
    <w:rsid w:val="009A1AAA"/>
  </w:style>
  <w:style w:type="character" w:styleId="Hyperlink">
    <w:name w:val="Hyperlink"/>
    <w:basedOn w:val="DefaultParagraphFont"/>
    <w:uiPriority w:val="99"/>
    <w:unhideWhenUsed/>
    <w:rsid w:val="00953F4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F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F7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4665E0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665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65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65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65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65E0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facebook.com/cirqlinnovations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irqlinnovations.com/" TargetMode="External"/><Relationship Id="rId12" Type="http://schemas.openxmlformats.org/officeDocument/2006/relationships/hyperlink" Target="http://ortholitecirql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linkedin.com/company/cirqlinnovations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cirqlinnovations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witter.com/OrthoLite" TargetMode="External"/><Relationship Id="rId10" Type="http://schemas.openxmlformats.org/officeDocument/2006/relationships/hyperlink" Target="https://www.ortholite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irqlinnovations.com/" TargetMode="External"/><Relationship Id="rId14" Type="http://schemas.openxmlformats.org/officeDocument/2006/relationships/hyperlink" Target="https://www.instagram.com/cirqlinnovation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oQ6cBeZ4LK3m81THRbFdY/9Khg==">CgMxLjA4AHIhMXhReEZTZVg4b2tZLWdjZk92OHhjQ0ZHNG1FTmJ4SFpX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Breunig</dc:creator>
  <cp:lastModifiedBy>Julie Evans</cp:lastModifiedBy>
  <cp:revision>2</cp:revision>
  <dcterms:created xsi:type="dcterms:W3CDTF">2025-10-03T17:50:00Z</dcterms:created>
  <dcterms:modified xsi:type="dcterms:W3CDTF">2025-10-03T17:50:00Z</dcterms:modified>
</cp:coreProperties>
</file>